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12" w:rsidRDefault="004D6812" w:rsidP="004D6812">
      <w:pPr>
        <w:pStyle w:val="Footer"/>
        <w:tabs>
          <w:tab w:val="clear" w:pos="4153"/>
          <w:tab w:val="clear" w:pos="8306"/>
          <w:tab w:val="left" w:pos="960"/>
          <w:tab w:val="left" w:pos="1920"/>
          <w:tab w:val="left" w:pos="3960"/>
          <w:tab w:val="left" w:pos="5160"/>
        </w:tabs>
        <w:ind w:left="960" w:hanging="240"/>
        <w:jc w:val="right"/>
        <w:rPr>
          <w:sz w:val="16"/>
        </w:rPr>
      </w:pPr>
    </w:p>
    <w:p w:rsidR="004D6812" w:rsidRDefault="004D6812" w:rsidP="004D6812">
      <w:pPr>
        <w:pStyle w:val="Footer"/>
        <w:tabs>
          <w:tab w:val="clear" w:pos="4153"/>
          <w:tab w:val="clear" w:pos="8306"/>
          <w:tab w:val="left" w:pos="960"/>
          <w:tab w:val="left" w:pos="1920"/>
          <w:tab w:val="left" w:pos="3960"/>
          <w:tab w:val="left" w:pos="5160"/>
        </w:tabs>
        <w:ind w:left="960" w:hanging="240"/>
        <w:jc w:val="right"/>
        <w:rPr>
          <w:sz w:val="16"/>
        </w:rPr>
      </w:pP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At a Meeting of the Dean of Guild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Assessors held within the Guild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>Hall the second day of September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rPr>
          <w:b/>
        </w:rPr>
        <w:t>Eighteen hundred and fifty eight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  <w:rPr>
          <w:i/>
        </w:rPr>
      </w:pPr>
      <w:r>
        <w:rPr>
          <w:i/>
        </w:rPr>
        <w:t>present 10 members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  <w:rPr>
          <w:i/>
        </w:rPr>
      </w:pP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rPr>
          <w:i/>
        </w:rPr>
        <w:t>page 457a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The Dean of Guild informed the Assessors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that he had yesterday attended a Meeting of the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Joint Committee of the Town Council, Nine Trades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and subscribers to the Fund used for vindicating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the Rights of the community under the Testamentary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 xml:space="preserve">Deeds of the late John Morgan Esquire for the </w:t>
      </w:r>
      <w:proofErr w:type="spellStart"/>
      <w:r>
        <w:t>pur</w:t>
      </w:r>
      <w:proofErr w:type="spellEnd"/>
      <w:r>
        <w:t>-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pose of reviving a scheme to be lodged with the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Court of Session for the approval and sanction of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the Court for the Government and Maintenance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of a Hospital for Boarding and Education one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hundred Boys in terms of Mr Morgan’s settlement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with the decision of the house of Lords in the appeal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from the Court of Session to the Lords at the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instance of the Town Council and Office Bearers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proofErr w:type="gramStart"/>
      <w:r>
        <w:t>of the Trades against Mr Morgan’s Legal Representatives.</w:t>
      </w:r>
      <w:proofErr w:type="gramEnd"/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That the Meeting of the Joint Committee had been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adjourned for fourteen days but in the meantime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it had been suggested that the Government of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 xml:space="preserve">the Hospital </w:t>
      </w:r>
      <w:proofErr w:type="gramStart"/>
      <w:r>
        <w:t>should be vested</w:t>
      </w:r>
      <w:proofErr w:type="gramEnd"/>
      <w:r>
        <w:t xml:space="preserve"> in certain Official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powers named, The Dean of Guild being one of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those Officials; and that an additional number of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Governors should moreover be elected but the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Committee were not at one as to the mode of election.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Several of the Members of the Joint committee being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of opinion that the election should be by the Incorporated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Bodies; and others that the Election should be made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proofErr w:type="gramStart"/>
      <w:r>
        <w:t>by those enjoying the Parliamentary Franchise.</w:t>
      </w:r>
      <w:proofErr w:type="gramEnd"/>
      <w:r>
        <w:t xml:space="preserve"> In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these circumstances the present Meeting had been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 xml:space="preserve">called in order to afford the Assessors an </w:t>
      </w:r>
      <w:proofErr w:type="spellStart"/>
      <w:proofErr w:type="gramStart"/>
      <w:r>
        <w:t>oppor</w:t>
      </w:r>
      <w:proofErr w:type="spellEnd"/>
      <w:r>
        <w:t>(</w:t>
      </w:r>
      <w:proofErr w:type="spellStart"/>
      <w:proofErr w:type="gramEnd"/>
      <w:r>
        <w:rPr>
          <w:i/>
        </w:rPr>
        <w:t>tunity</w:t>
      </w:r>
      <w:proofErr w:type="spellEnd"/>
      <w:r>
        <w:t>)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proofErr w:type="gramStart"/>
      <w:r>
        <w:t>of expressing their views on the subject.</w:t>
      </w:r>
      <w:proofErr w:type="gramEnd"/>
      <w:r>
        <w:t xml:space="preserve"> The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rPr>
          <w:i/>
        </w:rPr>
        <w:t>page 457b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Meeting having considered the Dean’s statement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resolved that provided the Joint Committee shall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determine on recommending to the court that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 xml:space="preserve">the Governors other than those </w:t>
      </w:r>
      <w:r>
        <w:rPr>
          <w:u w:val="single"/>
        </w:rPr>
        <w:t xml:space="preserve">ex </w:t>
      </w:r>
      <w:proofErr w:type="spellStart"/>
      <w:r>
        <w:rPr>
          <w:u w:val="single"/>
        </w:rPr>
        <w:t>officiis</w:t>
      </w:r>
      <w:proofErr w:type="spellEnd"/>
      <w:r>
        <w:t xml:space="preserve"> shall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be elected by the Incorporated Bodies the Guildry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ought to have the Appointment a fair and just proportion of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r>
        <w:t>the Governors in the proposed Hospital along with</w:t>
      </w:r>
    </w:p>
    <w:p w:rsidR="004D6812" w:rsidRDefault="004D6812" w:rsidP="004D6812">
      <w:pPr>
        <w:pStyle w:val="Footer"/>
        <w:tabs>
          <w:tab w:val="clear" w:pos="4153"/>
          <w:tab w:val="clear" w:pos="8306"/>
        </w:tabs>
        <w:jc w:val="center"/>
      </w:pPr>
      <w:proofErr w:type="gramStart"/>
      <w:r>
        <w:t>the other Incorporations.</w:t>
      </w:r>
      <w:proofErr w:type="gramEnd"/>
    </w:p>
    <w:p w:rsidR="00953F07" w:rsidRDefault="004D6812" w:rsidP="004D6812">
      <w:pPr>
        <w:pStyle w:val="Footer"/>
        <w:tabs>
          <w:tab w:val="clear" w:pos="4153"/>
          <w:tab w:val="clear" w:pos="8306"/>
          <w:tab w:val="left" w:pos="960"/>
          <w:tab w:val="left" w:pos="1920"/>
          <w:tab w:val="left" w:pos="3960"/>
          <w:tab w:val="left" w:pos="5160"/>
        </w:tabs>
        <w:ind w:left="960" w:hanging="240"/>
        <w:jc w:val="right"/>
      </w:pPr>
      <w:r>
        <w:rPr>
          <w:sz w:val="16"/>
        </w:rPr>
        <w:t>©</w:t>
      </w:r>
      <w:r w:rsidRPr="00902CAE">
        <w:rPr>
          <w:sz w:val="16"/>
        </w:rPr>
        <w:t xml:space="preserve">Innes A. </w:t>
      </w:r>
      <w:proofErr w:type="gramStart"/>
      <w:r w:rsidRPr="00902CAE">
        <w:rPr>
          <w:sz w:val="16"/>
        </w:rPr>
        <w:t xml:space="preserve">Duffus </w:t>
      </w:r>
      <w:r>
        <w:rPr>
          <w:sz w:val="16"/>
        </w:rPr>
        <w:t xml:space="preserve"> </w:t>
      </w:r>
      <w:r w:rsidRPr="00902CAE">
        <w:rPr>
          <w:sz w:val="16"/>
        </w:rPr>
        <w:t>Archivist</w:t>
      </w:r>
      <w:proofErr w:type="gramEnd"/>
      <w:r w:rsidRPr="00902CAE">
        <w:rPr>
          <w:sz w:val="16"/>
        </w:rPr>
        <w:t xml:space="preserve"> to the Nine Incorporated Trades of Dundee</w:t>
      </w:r>
    </w:p>
    <w:sectPr w:rsidR="00953F07" w:rsidSect="004D6812"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F8" w:rsidRDefault="004D6812" w:rsidP="00D977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6F8" w:rsidRDefault="004D6812" w:rsidP="001839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F8" w:rsidRDefault="004D6812" w:rsidP="00D977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26F8" w:rsidRDefault="004D6812" w:rsidP="0018398C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6812"/>
    <w:rsid w:val="004D6812"/>
    <w:rsid w:val="00734D23"/>
    <w:rsid w:val="00953F07"/>
    <w:rsid w:val="00A9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12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4D2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734D2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34D23"/>
    <w:pPr>
      <w:keepNext/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734D23"/>
    <w:pPr>
      <w:keepNext/>
      <w:ind w:firstLine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34D23"/>
    <w:pPr>
      <w:keepNext/>
      <w:ind w:firstLine="720"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734D23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734D23"/>
    <w:pPr>
      <w:keepNext/>
      <w:tabs>
        <w:tab w:val="left" w:pos="1440"/>
        <w:tab w:val="left" w:pos="1800"/>
        <w:tab w:val="left" w:pos="2520"/>
        <w:tab w:val="left" w:pos="4680"/>
        <w:tab w:val="left" w:pos="7200"/>
      </w:tabs>
      <w:ind w:left="1440" w:hanging="720"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734D23"/>
    <w:pPr>
      <w:keepNext/>
      <w:ind w:left="72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34D23"/>
    <w:pPr>
      <w:keepNext/>
      <w:jc w:val="center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D23"/>
    <w:rPr>
      <w:rFonts w:ascii="Georgia" w:hAnsi="Georgia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34D23"/>
    <w:rPr>
      <w:rFonts w:ascii="Georgia" w:hAnsi="Georgia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34D23"/>
    <w:rPr>
      <w:rFonts w:ascii="Georgia" w:hAnsi="Georgia"/>
      <w:i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34D23"/>
    <w:rPr>
      <w:rFonts w:ascii="Georgia" w:hAnsi="Georgia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34D23"/>
    <w:rPr>
      <w:rFonts w:ascii="Georgia" w:hAnsi="Georgia"/>
      <w:i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34D23"/>
    <w:rPr>
      <w:rFonts w:ascii="Georgia" w:hAnsi="Georgia"/>
      <w:b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34D2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734D23"/>
    <w:rPr>
      <w:rFonts w:ascii="Georgia" w:hAnsi="Georgia"/>
      <w:b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734D23"/>
    <w:rPr>
      <w:rFonts w:ascii="Georgia" w:hAnsi="Georgia"/>
      <w:b/>
      <w:i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D68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6812"/>
    <w:rPr>
      <w:rFonts w:ascii="Georgia" w:hAnsi="Georgia"/>
      <w:sz w:val="24"/>
      <w:szCs w:val="24"/>
      <w:lang w:eastAsia="en-US"/>
    </w:rPr>
  </w:style>
  <w:style w:type="character" w:styleId="PageNumber">
    <w:name w:val="page number"/>
    <w:basedOn w:val="DefaultParagraphFont"/>
    <w:rsid w:val="004D6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Company> 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2009-11-24T16:35:00Z</dcterms:created>
  <dcterms:modified xsi:type="dcterms:W3CDTF">2009-11-24T16:38:00Z</dcterms:modified>
</cp:coreProperties>
</file>